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66" w:rsidRDefault="00D51166" w:rsidP="000857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51166" w:rsidRDefault="00D51166" w:rsidP="000857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51166" w:rsidRDefault="0008579C" w:rsidP="000857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Il progetto</w:t>
      </w:r>
    </w:p>
    <w:p w:rsidR="00D51166" w:rsidRDefault="00D51166" w:rsidP="000857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08579C" w:rsidRPr="0008579C" w:rsidRDefault="0008579C" w:rsidP="000857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08579C">
        <w:rPr>
          <w:rFonts w:asciiTheme="majorHAnsi" w:hAnsiTheme="majorHAnsi" w:cstheme="majorHAnsi"/>
          <w:b/>
          <w:color w:val="000000"/>
        </w:rPr>
        <w:t>Progettare l’allestimento museografico</w:t>
      </w:r>
      <w:r w:rsidRPr="0008579C">
        <w:rPr>
          <w:rFonts w:asciiTheme="majorHAnsi" w:hAnsiTheme="majorHAnsi" w:cstheme="majorHAnsi"/>
          <w:color w:val="000000"/>
        </w:rPr>
        <w:t xml:space="preserve"> di una delle collezioni storico-archeologiche più importanti d’Italia, tra sculture </w:t>
      </w:r>
      <w:r w:rsidR="00FE3C09">
        <w:rPr>
          <w:rFonts w:asciiTheme="majorHAnsi" w:hAnsiTheme="majorHAnsi" w:cstheme="majorHAnsi"/>
          <w:color w:val="000000"/>
        </w:rPr>
        <w:t xml:space="preserve">antiche e straordinari reperti </w:t>
      </w:r>
      <w:r w:rsidRPr="0008579C">
        <w:rPr>
          <w:rFonts w:asciiTheme="majorHAnsi" w:hAnsiTheme="majorHAnsi" w:cstheme="majorHAnsi"/>
          <w:color w:val="000000"/>
        </w:rPr>
        <w:t xml:space="preserve">delle civiltà </w:t>
      </w:r>
      <w:r w:rsidR="00FE3C09">
        <w:rPr>
          <w:rFonts w:asciiTheme="majorHAnsi" w:hAnsiTheme="majorHAnsi" w:cstheme="majorHAnsi"/>
          <w:color w:val="000000"/>
        </w:rPr>
        <w:t xml:space="preserve">mediterranee, ha rappresentato </w:t>
      </w:r>
      <w:r w:rsidRPr="0008579C">
        <w:rPr>
          <w:rFonts w:asciiTheme="majorHAnsi" w:hAnsiTheme="majorHAnsi" w:cstheme="majorHAnsi"/>
          <w:color w:val="000000"/>
        </w:rPr>
        <w:t>una sfida non indifferente.</w:t>
      </w:r>
    </w:p>
    <w:p w:rsidR="0008579C" w:rsidRPr="0008579C" w:rsidRDefault="0008579C" w:rsidP="000857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08579C">
        <w:rPr>
          <w:rFonts w:asciiTheme="majorHAnsi" w:hAnsiTheme="majorHAnsi" w:cstheme="majorHAnsi"/>
          <w:color w:val="000000"/>
        </w:rPr>
        <w:t>Si tr</w:t>
      </w:r>
      <w:r w:rsidR="00FE3C09">
        <w:rPr>
          <w:rFonts w:asciiTheme="majorHAnsi" w:hAnsiTheme="majorHAnsi" w:cstheme="majorHAnsi"/>
          <w:color w:val="000000"/>
        </w:rPr>
        <w:t xml:space="preserve">attava infatti di coniugare le </w:t>
      </w:r>
      <w:r w:rsidRPr="0008579C">
        <w:rPr>
          <w:rFonts w:asciiTheme="majorHAnsi" w:hAnsiTheme="majorHAnsi" w:cstheme="majorHAnsi"/>
          <w:b/>
          <w:color w:val="000000"/>
        </w:rPr>
        <w:t>ragioni espositive dell’archeologia</w:t>
      </w:r>
      <w:r w:rsidRPr="0008579C">
        <w:rPr>
          <w:rFonts w:asciiTheme="majorHAnsi" w:hAnsiTheme="majorHAnsi" w:cstheme="majorHAnsi"/>
          <w:color w:val="000000"/>
        </w:rPr>
        <w:t>, con un nuovo ordinamento scientifico   frutto di importanti ricerche, con quelle</w:t>
      </w:r>
      <w:r w:rsidRPr="0008579C">
        <w:rPr>
          <w:rFonts w:asciiTheme="majorHAnsi" w:hAnsiTheme="majorHAnsi" w:cstheme="majorHAnsi"/>
          <w:b/>
          <w:color w:val="000000"/>
        </w:rPr>
        <w:t xml:space="preserve"> evocative della storia del collezionismo sabaudo</w:t>
      </w:r>
      <w:r w:rsidR="00FE3C09">
        <w:rPr>
          <w:rFonts w:asciiTheme="majorHAnsi" w:hAnsiTheme="majorHAnsi" w:cstheme="majorHAnsi"/>
          <w:color w:val="000000"/>
        </w:rPr>
        <w:t xml:space="preserve">, </w:t>
      </w:r>
      <w:r w:rsidRPr="0008579C">
        <w:rPr>
          <w:rFonts w:asciiTheme="majorHAnsi" w:hAnsiTheme="majorHAnsi" w:cstheme="majorHAnsi"/>
          <w:color w:val="000000"/>
        </w:rPr>
        <w:t>e quindi di presentarle al pubbli</w:t>
      </w:r>
      <w:r w:rsidR="00FE3C09">
        <w:rPr>
          <w:rFonts w:asciiTheme="majorHAnsi" w:hAnsiTheme="majorHAnsi" w:cstheme="majorHAnsi"/>
          <w:color w:val="000000"/>
        </w:rPr>
        <w:t xml:space="preserve">co attraverso forme espressive </w:t>
      </w:r>
      <w:bookmarkStart w:id="0" w:name="_GoBack"/>
      <w:bookmarkEnd w:id="0"/>
      <w:r w:rsidRPr="0008579C">
        <w:rPr>
          <w:rFonts w:asciiTheme="majorHAnsi" w:hAnsiTheme="majorHAnsi" w:cstheme="majorHAnsi"/>
          <w:color w:val="000000"/>
        </w:rPr>
        <w:t>inequivocabilmente contemporanee.</w:t>
      </w:r>
    </w:p>
    <w:p w:rsidR="0008579C" w:rsidRPr="0008579C" w:rsidRDefault="0008579C" w:rsidP="000857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08579C">
        <w:rPr>
          <w:rFonts w:asciiTheme="majorHAnsi" w:hAnsiTheme="majorHAnsi" w:cstheme="majorHAnsi"/>
          <w:color w:val="000000"/>
        </w:rPr>
        <w:t>Era inoltre indispensabile riservare una rispettosa attenzione alle sale ottocentesche della Manica Nuova di Palazzo Reale e trovare il modo di instaurare un rapporto efficace tra opere e spazio architettonico.</w:t>
      </w:r>
    </w:p>
    <w:p w:rsidR="0008579C" w:rsidRPr="0008579C" w:rsidRDefault="0008579C" w:rsidP="000857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08579C">
        <w:rPr>
          <w:rFonts w:asciiTheme="majorHAnsi" w:hAnsiTheme="majorHAnsi" w:cstheme="majorHAnsi"/>
          <w:color w:val="000000"/>
        </w:rPr>
        <w:t xml:space="preserve">Le esperienze museografiche del nostro studio, dal </w:t>
      </w:r>
      <w:r w:rsidRPr="0008579C">
        <w:rPr>
          <w:rFonts w:asciiTheme="majorHAnsi" w:hAnsiTheme="majorHAnsi" w:cstheme="majorHAnsi"/>
          <w:b/>
          <w:color w:val="000000"/>
        </w:rPr>
        <w:t>Museo Archeologico Nazionale di</w:t>
      </w:r>
      <w:r w:rsidR="00FE3C09">
        <w:rPr>
          <w:rFonts w:asciiTheme="majorHAnsi" w:hAnsiTheme="majorHAnsi" w:cstheme="majorHAnsi"/>
          <w:color w:val="000000"/>
        </w:rPr>
        <w:t xml:space="preserve"> </w:t>
      </w:r>
      <w:r w:rsidRPr="0008579C">
        <w:rPr>
          <w:rFonts w:asciiTheme="majorHAnsi" w:hAnsiTheme="majorHAnsi" w:cstheme="majorHAnsi"/>
          <w:b/>
          <w:color w:val="000000"/>
        </w:rPr>
        <w:t>Aquileia</w:t>
      </w:r>
      <w:r w:rsidRPr="0008579C">
        <w:rPr>
          <w:rFonts w:asciiTheme="majorHAnsi" w:hAnsiTheme="majorHAnsi" w:cstheme="majorHAnsi"/>
          <w:color w:val="000000"/>
        </w:rPr>
        <w:t xml:space="preserve"> al </w:t>
      </w:r>
      <w:r w:rsidRPr="0008579C">
        <w:rPr>
          <w:rFonts w:asciiTheme="majorHAnsi" w:hAnsiTheme="majorHAnsi" w:cstheme="majorHAnsi"/>
          <w:b/>
          <w:i/>
          <w:color w:val="000000"/>
        </w:rPr>
        <w:t>Terrasanctamuseum</w:t>
      </w:r>
      <w:r w:rsidRPr="0008579C">
        <w:rPr>
          <w:rFonts w:asciiTheme="majorHAnsi" w:hAnsiTheme="majorHAnsi" w:cstheme="majorHAnsi"/>
          <w:b/>
          <w:color w:val="000000"/>
        </w:rPr>
        <w:t xml:space="preserve"> di</w:t>
      </w:r>
      <w:r w:rsidRPr="0008579C">
        <w:rPr>
          <w:rFonts w:asciiTheme="majorHAnsi" w:hAnsiTheme="majorHAnsi" w:cstheme="majorHAnsi"/>
          <w:color w:val="000000"/>
        </w:rPr>
        <w:t xml:space="preserve"> </w:t>
      </w:r>
      <w:r w:rsidRPr="0008579C">
        <w:rPr>
          <w:rFonts w:asciiTheme="majorHAnsi" w:hAnsiTheme="majorHAnsi" w:cstheme="majorHAnsi"/>
          <w:b/>
          <w:color w:val="000000"/>
        </w:rPr>
        <w:t>Gerusalemme</w:t>
      </w:r>
      <w:r w:rsidRPr="0008579C">
        <w:rPr>
          <w:rFonts w:asciiTheme="majorHAnsi" w:hAnsiTheme="majorHAnsi" w:cstheme="majorHAnsi"/>
          <w:color w:val="000000"/>
        </w:rPr>
        <w:t xml:space="preserve">, dalle </w:t>
      </w:r>
      <w:r w:rsidRPr="0008579C">
        <w:rPr>
          <w:rFonts w:asciiTheme="majorHAnsi" w:hAnsiTheme="majorHAnsi" w:cstheme="majorHAnsi"/>
          <w:b/>
          <w:i/>
          <w:color w:val="000000"/>
        </w:rPr>
        <w:t>Domus</w:t>
      </w:r>
      <w:r w:rsidRPr="0008579C">
        <w:rPr>
          <w:rFonts w:asciiTheme="majorHAnsi" w:hAnsiTheme="majorHAnsi" w:cstheme="majorHAnsi"/>
          <w:b/>
          <w:color w:val="000000"/>
        </w:rPr>
        <w:t xml:space="preserve"> dell’Ortaglia</w:t>
      </w:r>
      <w:r w:rsidRPr="0008579C">
        <w:rPr>
          <w:rFonts w:asciiTheme="majorHAnsi" w:hAnsiTheme="majorHAnsi" w:cstheme="majorHAnsi"/>
          <w:color w:val="000000"/>
        </w:rPr>
        <w:t xml:space="preserve"> </w:t>
      </w:r>
      <w:r w:rsidRPr="0008579C">
        <w:rPr>
          <w:rFonts w:asciiTheme="majorHAnsi" w:hAnsiTheme="majorHAnsi" w:cstheme="majorHAnsi"/>
          <w:b/>
          <w:color w:val="000000"/>
        </w:rPr>
        <w:t>di Brescia</w:t>
      </w:r>
      <w:r w:rsidRPr="0008579C">
        <w:rPr>
          <w:rFonts w:asciiTheme="majorHAnsi" w:hAnsiTheme="majorHAnsi" w:cstheme="majorHAnsi"/>
          <w:color w:val="000000"/>
        </w:rPr>
        <w:t xml:space="preserve"> ai </w:t>
      </w:r>
      <w:r w:rsidRPr="0008579C">
        <w:rPr>
          <w:rFonts w:asciiTheme="majorHAnsi" w:hAnsiTheme="majorHAnsi" w:cstheme="majorHAnsi"/>
          <w:b/>
          <w:color w:val="000000"/>
        </w:rPr>
        <w:t>Fori Imperiali di Roma</w:t>
      </w:r>
      <w:r w:rsidRPr="0008579C">
        <w:rPr>
          <w:rFonts w:asciiTheme="majorHAnsi" w:hAnsiTheme="majorHAnsi" w:cstheme="majorHAnsi"/>
          <w:color w:val="000000"/>
        </w:rPr>
        <w:t>, hanno certamente facilitato l’approccio propositivo al tema ma è stato soprattutto il costante confronto con la Direzione e con i funzionari dei Musei Reali (archeologi, architetti, storici dell’arte, restauratori) che ha avviato il progetto verso scelte convinte e condivise.</w:t>
      </w:r>
    </w:p>
    <w:p w:rsidR="0008579C" w:rsidRPr="0008579C" w:rsidRDefault="0008579C" w:rsidP="000857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08579C">
        <w:rPr>
          <w:rFonts w:asciiTheme="majorHAnsi" w:hAnsiTheme="majorHAnsi" w:cstheme="majorHAnsi"/>
          <w:color w:val="000000"/>
        </w:rPr>
        <w:t>Il percorso, dopo i primi spazi introduttivi con opere da “capolettera”, si snoda libero tra le</w:t>
      </w:r>
      <w:r w:rsidR="00FE3C09">
        <w:rPr>
          <w:rFonts w:asciiTheme="majorHAnsi" w:hAnsiTheme="majorHAnsi" w:cstheme="majorHAnsi"/>
          <w:color w:val="000000"/>
        </w:rPr>
        <w:t xml:space="preserve"> sale che accolgono reperti </w:t>
      </w:r>
      <w:r w:rsidRPr="0008579C">
        <w:rPr>
          <w:rFonts w:asciiTheme="majorHAnsi" w:hAnsiTheme="majorHAnsi" w:cstheme="majorHAnsi"/>
          <w:color w:val="000000"/>
        </w:rPr>
        <w:t xml:space="preserve">a seconda della cultura di appartenenza ma è orientato </w:t>
      </w:r>
      <w:r w:rsidRPr="0008579C">
        <w:rPr>
          <w:rFonts w:asciiTheme="majorHAnsi" w:hAnsiTheme="majorHAnsi" w:cstheme="majorHAnsi"/>
          <w:b/>
          <w:color w:val="000000"/>
        </w:rPr>
        <w:t>dall’asse principale della Galleria</w:t>
      </w:r>
      <w:r w:rsidR="00FE3C09">
        <w:rPr>
          <w:rFonts w:asciiTheme="majorHAnsi" w:hAnsiTheme="majorHAnsi" w:cstheme="majorHAnsi"/>
          <w:b/>
          <w:color w:val="000000"/>
        </w:rPr>
        <w:t xml:space="preserve"> dove sono esposte le sculture </w:t>
      </w:r>
      <w:r w:rsidRPr="0008579C">
        <w:rPr>
          <w:rFonts w:asciiTheme="majorHAnsi" w:hAnsiTheme="majorHAnsi" w:cstheme="majorHAnsi"/>
          <w:b/>
          <w:color w:val="000000"/>
        </w:rPr>
        <w:t>ellenistico-romane</w:t>
      </w:r>
      <w:r w:rsidRPr="0008579C">
        <w:rPr>
          <w:rFonts w:asciiTheme="majorHAnsi" w:hAnsiTheme="majorHAnsi" w:cstheme="majorHAnsi"/>
          <w:color w:val="000000"/>
        </w:rPr>
        <w:t xml:space="preserve">, con un </w:t>
      </w:r>
      <w:r w:rsidRPr="0008579C">
        <w:rPr>
          <w:rFonts w:asciiTheme="majorHAnsi" w:hAnsiTheme="majorHAnsi" w:cstheme="majorHAnsi"/>
          <w:b/>
          <w:color w:val="000000"/>
        </w:rPr>
        <w:t xml:space="preserve">fulcro prospettico nella “rotonda degli imperatori”. </w:t>
      </w:r>
    </w:p>
    <w:p w:rsidR="0008579C" w:rsidRPr="0008579C" w:rsidRDefault="0008579C" w:rsidP="000857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08579C">
        <w:rPr>
          <w:rFonts w:asciiTheme="majorHAnsi" w:hAnsiTheme="majorHAnsi" w:cstheme="majorHAnsi"/>
          <w:color w:val="000000"/>
        </w:rPr>
        <w:t xml:space="preserve">L’allestimento è improntato ad un </w:t>
      </w:r>
      <w:r w:rsidRPr="0008579C">
        <w:rPr>
          <w:rFonts w:asciiTheme="majorHAnsi" w:hAnsiTheme="majorHAnsi" w:cstheme="majorHAnsi"/>
          <w:b/>
          <w:color w:val="000000"/>
        </w:rPr>
        <w:t>misurato rigore formale</w:t>
      </w:r>
      <w:r w:rsidRPr="0008579C">
        <w:rPr>
          <w:rFonts w:asciiTheme="majorHAnsi" w:hAnsiTheme="majorHAnsi" w:cstheme="majorHAnsi"/>
          <w:color w:val="000000"/>
        </w:rPr>
        <w:t xml:space="preserve">, con pochi studiati dettagli diversamente declinati in relazione alle ricorrenze dell’architettura e alle caratteristiche materiche e dimensionali delle opere. </w:t>
      </w:r>
      <w:r w:rsidRPr="0008579C">
        <w:rPr>
          <w:rFonts w:asciiTheme="majorHAnsi" w:hAnsiTheme="majorHAnsi" w:cstheme="majorHAnsi"/>
          <w:b/>
          <w:color w:val="000000"/>
        </w:rPr>
        <w:t>Fondali in metallo verniciato a polveri epossidiche color grigio</w:t>
      </w:r>
      <w:r w:rsidRPr="0008579C">
        <w:rPr>
          <w:rFonts w:asciiTheme="majorHAnsi" w:hAnsiTheme="majorHAnsi" w:cstheme="majorHAnsi"/>
          <w:color w:val="000000"/>
        </w:rPr>
        <w:t xml:space="preserve">, a tutta altezza, si alternano ad altri </w:t>
      </w:r>
      <w:r w:rsidRPr="0008579C">
        <w:rPr>
          <w:rFonts w:asciiTheme="majorHAnsi" w:hAnsiTheme="majorHAnsi" w:cstheme="majorHAnsi"/>
          <w:b/>
          <w:color w:val="000000"/>
        </w:rPr>
        <w:t>fondali di ferro naturale nero</w:t>
      </w:r>
      <w:r w:rsidRPr="0008579C">
        <w:rPr>
          <w:rFonts w:asciiTheme="majorHAnsi" w:hAnsiTheme="majorHAnsi" w:cstheme="majorHAnsi"/>
          <w:color w:val="000000"/>
        </w:rPr>
        <w:t xml:space="preserve"> sui quali sono stampati i corredi di illustrazione didattico-scientifica e di approfondimento tematico, composti e posizionati in modo da gu</w:t>
      </w:r>
      <w:r w:rsidR="00FE3C09">
        <w:rPr>
          <w:rFonts w:asciiTheme="majorHAnsi" w:hAnsiTheme="majorHAnsi" w:cstheme="majorHAnsi"/>
          <w:color w:val="000000"/>
        </w:rPr>
        <w:t>idare e orientare il visitatore</w:t>
      </w:r>
      <w:r w:rsidRPr="0008579C">
        <w:rPr>
          <w:rFonts w:asciiTheme="majorHAnsi" w:hAnsiTheme="majorHAnsi" w:cstheme="majorHAnsi"/>
          <w:color w:val="000000"/>
        </w:rPr>
        <w:t xml:space="preserve">. </w:t>
      </w:r>
    </w:p>
    <w:p w:rsidR="0008579C" w:rsidRPr="0008579C" w:rsidRDefault="0008579C" w:rsidP="000857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08579C">
        <w:rPr>
          <w:rFonts w:asciiTheme="majorHAnsi" w:hAnsiTheme="majorHAnsi" w:cstheme="majorHAnsi"/>
          <w:color w:val="000000"/>
        </w:rPr>
        <w:t xml:space="preserve">Anche </w:t>
      </w:r>
      <w:r w:rsidR="00FE3C09">
        <w:rPr>
          <w:rFonts w:asciiTheme="majorHAnsi" w:hAnsiTheme="majorHAnsi" w:cstheme="majorHAnsi"/>
          <w:color w:val="000000"/>
        </w:rPr>
        <w:t xml:space="preserve">il piano pavimentale </w:t>
      </w:r>
      <w:r w:rsidRPr="0008579C">
        <w:rPr>
          <w:rFonts w:asciiTheme="majorHAnsi" w:hAnsiTheme="majorHAnsi" w:cstheme="majorHAnsi"/>
          <w:color w:val="000000"/>
        </w:rPr>
        <w:t>è rivestito di lastre in ferro nero, quasi un grande supporto continuo che rende immediata la percezione di coerenza formale del linguaggio e delle scelte progettuali.</w:t>
      </w:r>
    </w:p>
    <w:p w:rsidR="0008579C" w:rsidRPr="0008579C" w:rsidRDefault="00FE3C09" w:rsidP="000857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Lele teche in vetro, studiate </w:t>
      </w:r>
      <w:r w:rsidR="0008579C" w:rsidRPr="0008579C">
        <w:rPr>
          <w:rFonts w:asciiTheme="majorHAnsi" w:hAnsiTheme="majorHAnsi" w:cstheme="majorHAnsi"/>
          <w:color w:val="000000"/>
        </w:rPr>
        <w:t>per i reperti più fragili, sono sporgenti rispetto al piano di fondo e offrono quindi una maggiore vis</w:t>
      </w:r>
      <w:r>
        <w:rPr>
          <w:rFonts w:asciiTheme="majorHAnsi" w:hAnsiTheme="majorHAnsi" w:cstheme="majorHAnsi"/>
          <w:color w:val="000000"/>
        </w:rPr>
        <w:t>ibilità dei materiali contenuti</w:t>
      </w:r>
      <w:r w:rsidR="0008579C" w:rsidRPr="0008579C">
        <w:rPr>
          <w:rFonts w:asciiTheme="majorHAnsi" w:hAnsiTheme="majorHAnsi" w:cstheme="majorHAnsi"/>
          <w:color w:val="000000"/>
        </w:rPr>
        <w:t xml:space="preserve">. Piedistalli verticali e piani espositivi seguono rigorosamente il medesimo linguaggio volto a presentare al meglio le caratteristiche delle opere e ad avvicinarle il più possibile al pubblico. </w:t>
      </w:r>
    </w:p>
    <w:p w:rsidR="0008579C" w:rsidRDefault="0008579C" w:rsidP="000857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bookmarkStart w:id="1" w:name="_heading=h.gjdgxs" w:colFirst="0" w:colLast="0"/>
      <w:bookmarkEnd w:id="1"/>
      <w:r w:rsidRPr="0008579C">
        <w:rPr>
          <w:rFonts w:asciiTheme="majorHAnsi" w:hAnsiTheme="majorHAnsi" w:cstheme="majorHAnsi"/>
          <w:color w:val="000000"/>
        </w:rPr>
        <w:t xml:space="preserve">I varchi liberi tra la galleria e le sale consentono </w:t>
      </w:r>
      <w:r w:rsidRPr="0008579C">
        <w:rPr>
          <w:rFonts w:asciiTheme="majorHAnsi" w:hAnsiTheme="majorHAnsi" w:cstheme="majorHAnsi"/>
          <w:b/>
          <w:color w:val="000000"/>
        </w:rPr>
        <w:t>co</w:t>
      </w:r>
      <w:r w:rsidR="00FE3C09">
        <w:rPr>
          <w:rFonts w:asciiTheme="majorHAnsi" w:hAnsiTheme="majorHAnsi" w:cstheme="majorHAnsi"/>
          <w:b/>
          <w:color w:val="000000"/>
        </w:rPr>
        <w:t xml:space="preserve">ntinui rimandi prospettici con </w:t>
      </w:r>
      <w:r w:rsidRPr="0008579C">
        <w:rPr>
          <w:rFonts w:asciiTheme="majorHAnsi" w:hAnsiTheme="majorHAnsi" w:cstheme="majorHAnsi"/>
          <w:b/>
          <w:color w:val="000000"/>
        </w:rPr>
        <w:t>una studiata efficacia d’immagine</w:t>
      </w:r>
      <w:r w:rsidRPr="0008579C">
        <w:rPr>
          <w:rFonts w:asciiTheme="majorHAnsi" w:hAnsiTheme="majorHAnsi" w:cstheme="majorHAnsi"/>
          <w:color w:val="000000"/>
        </w:rPr>
        <w:t xml:space="preserve"> ma soprattutto suggeriscono </w:t>
      </w:r>
      <w:r w:rsidRPr="0008579C">
        <w:rPr>
          <w:rFonts w:asciiTheme="majorHAnsi" w:hAnsiTheme="majorHAnsi" w:cstheme="majorHAnsi"/>
          <w:b/>
          <w:color w:val="000000"/>
        </w:rPr>
        <w:t>continui dialoghi storico-cronologici, materici e figurativi tra reperti diversi ma provenienti dal comune bacino culturale.</w:t>
      </w:r>
    </w:p>
    <w:p w:rsidR="00DC636F" w:rsidRDefault="00DC636F" w:rsidP="000857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</w:p>
    <w:p w:rsidR="00DC636F" w:rsidRPr="00DC636F" w:rsidRDefault="00DC636F" w:rsidP="00DC6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DC636F">
        <w:rPr>
          <w:rFonts w:asciiTheme="majorHAnsi" w:hAnsiTheme="majorHAnsi" w:cstheme="majorHAnsi"/>
          <w:color w:val="000000"/>
        </w:rPr>
        <w:t>Giovanni Tortelli</w:t>
      </w:r>
    </w:p>
    <w:p w:rsidR="00D51166" w:rsidRDefault="00D51166" w:rsidP="00D511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sectPr w:rsidR="00D51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80" w:rsidRDefault="00DC636F" w:rsidP="0008579C">
      <w:pPr>
        <w:spacing w:line="240" w:lineRule="auto"/>
        <w:ind w:left="0" w:hanging="2"/>
      </w:pPr>
      <w:r>
        <w:separator/>
      </w:r>
    </w:p>
  </w:endnote>
  <w:endnote w:type="continuationSeparator" w:id="0">
    <w:p w:rsidR="00EB3880" w:rsidRDefault="00DC636F" w:rsidP="000857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C7" w:rsidRDefault="002622C7" w:rsidP="002622C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C7" w:rsidRDefault="002622C7" w:rsidP="002622C7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C7" w:rsidRDefault="002622C7" w:rsidP="002622C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80" w:rsidRDefault="00DC636F" w:rsidP="0008579C">
      <w:pPr>
        <w:spacing w:line="240" w:lineRule="auto"/>
        <w:ind w:left="0" w:hanging="2"/>
      </w:pPr>
      <w:r>
        <w:separator/>
      </w:r>
    </w:p>
  </w:footnote>
  <w:footnote w:type="continuationSeparator" w:id="0">
    <w:p w:rsidR="00EB3880" w:rsidRDefault="00DC636F" w:rsidP="000857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C7" w:rsidRDefault="002622C7" w:rsidP="002622C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66" w:rsidRDefault="00FE3C09" w:rsidP="0008579C">
    <w:pPr>
      <w:ind w:left="0" w:hanging="2"/>
      <w:jc w:val="both"/>
      <w:rPr>
        <w:rFonts w:ascii="Calibri" w:eastAsia="Calibri" w:hAnsi="Calibri" w:cs="Calibri"/>
        <w:b/>
        <w:sz w:val="28"/>
        <w:szCs w:val="28"/>
      </w:rPr>
    </w:pPr>
    <w:r>
      <w:rPr>
        <w:noProof/>
        <w:lang w:eastAsia="it-IT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-100965</wp:posOffset>
          </wp:positionV>
          <wp:extent cx="1097280" cy="720090"/>
          <wp:effectExtent l="0" t="0" r="7620" b="3810"/>
          <wp:wrapNone/>
          <wp:docPr id="2" name="Immagine 2" descr="Logo Blu su Bi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lu su Bi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166" w:rsidRDefault="00D51166" w:rsidP="002622C7">
    <w:pPr>
      <w:spacing w:line="276" w:lineRule="auto"/>
      <w:ind w:left="1" w:hanging="3"/>
      <w:rPr>
        <w:rFonts w:ascii="Calibri" w:eastAsia="Calibri" w:hAnsi="Calibri" w:cs="Calibr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C7" w:rsidRDefault="002622C7" w:rsidP="002622C7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6"/>
    <w:rsid w:val="0008579C"/>
    <w:rsid w:val="002622C7"/>
    <w:rsid w:val="003D07A5"/>
    <w:rsid w:val="00506B5E"/>
    <w:rsid w:val="00D51166"/>
    <w:rsid w:val="00DC636F"/>
    <w:rsid w:val="00EB3880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0B6850"/>
  <w15:docId w15:val="{D5B712F8-1DB8-4FA5-BC85-A6F77EE5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2622C7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2C7"/>
    <w:rPr>
      <w:rFonts w:cs="Mangal"/>
      <w:kern w:val="3"/>
      <w:position w:val="-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622C7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2C7"/>
    <w:rPr>
      <w:rFonts w:cs="Mangal"/>
      <w:kern w:val="3"/>
      <w:position w:val="-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ko9Y9yL+yC0gkUz3hGfg9qkjyQ==">AMUW2mWyno1ZznOnfqf8ohdiZg6BPkZEXJQEy1wc9+IJTifb5Fc6Gcb4avrU3SaSI02dcKPu155osGl+sjOXIeD9cDSws6hGk5DAx5z2LjxG7fioR6/D8Dg=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GTRF</dc:creator>
  <cp:lastModifiedBy>Barbara Tuzzolino</cp:lastModifiedBy>
  <cp:revision>2</cp:revision>
  <dcterms:created xsi:type="dcterms:W3CDTF">2022-02-16T15:39:00Z</dcterms:created>
  <dcterms:modified xsi:type="dcterms:W3CDTF">2022-02-16T15:39:00Z</dcterms:modified>
</cp:coreProperties>
</file>