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5971" w14:textId="77777777" w:rsidR="00321864" w:rsidRDefault="00321864" w:rsidP="00EA56FB">
      <w:pPr>
        <w:spacing w:after="0"/>
        <w:rPr>
          <w:rFonts w:ascii="Arial" w:hAnsi="Arial" w:cs="Arial"/>
        </w:rPr>
      </w:pPr>
    </w:p>
    <w:p w14:paraId="04FF1F32" w14:textId="4030F1DC" w:rsidR="00B542A0" w:rsidRPr="00E078AD" w:rsidRDefault="00B34381" w:rsidP="00B542A0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  <w:r w:rsidRPr="00B34381">
        <w:rPr>
          <w:rFonts w:ascii="Arial" w:hAnsi="Arial" w:cs="Arial"/>
          <w:b/>
          <w:bCs/>
          <w:i/>
          <w:iCs/>
          <w:sz w:val="26"/>
          <w:szCs w:val="26"/>
        </w:rPr>
        <w:t>La figura di Cleopatra nell’arte occidentale</w:t>
      </w:r>
    </w:p>
    <w:p w14:paraId="556FA638" w14:textId="77777777" w:rsidR="00B542A0" w:rsidRDefault="00B542A0" w:rsidP="00EA56FB">
      <w:pPr>
        <w:spacing w:after="0"/>
        <w:rPr>
          <w:rFonts w:ascii="Arial" w:hAnsi="Arial" w:cs="Arial"/>
        </w:rPr>
      </w:pPr>
    </w:p>
    <w:p w14:paraId="7563CFFB" w14:textId="77777777" w:rsidR="00E078AD" w:rsidRPr="00E078AD" w:rsidRDefault="00E078AD" w:rsidP="00EA56FB">
      <w:pPr>
        <w:spacing w:after="0"/>
        <w:rPr>
          <w:rFonts w:ascii="Arial" w:hAnsi="Arial" w:cs="Arial"/>
        </w:rPr>
      </w:pPr>
    </w:p>
    <w:p w14:paraId="5A7C079F" w14:textId="4F53964A" w:rsidR="00B34381" w:rsidRPr="00B34381" w:rsidRDefault="00B34381" w:rsidP="00B34381">
      <w:pPr>
        <w:spacing w:after="120" w:line="274" w:lineRule="auto"/>
        <w:jc w:val="both"/>
        <w:rPr>
          <w:rFonts w:ascii="Arial" w:hAnsi="Arial" w:cs="Arial"/>
        </w:rPr>
      </w:pPr>
      <w:r w:rsidRPr="00B34381">
        <w:rPr>
          <w:rFonts w:ascii="Arial" w:hAnsi="Arial" w:cs="Arial"/>
        </w:rPr>
        <w:t>A partire dal XV secolo in Europa si diffonde una rinnovata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attenzione per la figura di Cleopatra che deriva non solo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dall’interesse degli Umanisti per gli autori e le tematiche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della classicità, ma anche dal tentativo di assimilazione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del repertorio simbolico e iconografico egizio al pensiero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cristiano attraverso la riscoperta e lo studio di testi e reperti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appartenenti a quella civiltà.</w:t>
      </w:r>
    </w:p>
    <w:p w14:paraId="5F2DEE63" w14:textId="7B8F5D53" w:rsidR="00B34381" w:rsidRPr="00B34381" w:rsidRDefault="00B34381" w:rsidP="00B34381">
      <w:pPr>
        <w:spacing w:after="120" w:line="274" w:lineRule="auto"/>
        <w:jc w:val="both"/>
        <w:rPr>
          <w:rFonts w:ascii="Arial" w:hAnsi="Arial" w:cs="Arial"/>
        </w:rPr>
      </w:pPr>
      <w:r w:rsidRPr="00B34381">
        <w:rPr>
          <w:rFonts w:ascii="Arial" w:hAnsi="Arial" w:cs="Arial"/>
        </w:rPr>
        <w:t>Nel corso del XVI secolo la fortuna della regina tolemaica è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ampiamente attestata nella produzione artistica italiana ed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europea, come mostra l’incisione di Marcantonio Raimondi,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insieme alle immagini e alle vicende di altre eroine della storia 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 xml:space="preserve">della mitologia antica, le cosiddette </w:t>
      </w:r>
      <w:r w:rsidRPr="00B34381">
        <w:rPr>
          <w:rFonts w:ascii="Arial" w:hAnsi="Arial" w:cs="Arial"/>
          <w:i/>
          <w:iCs/>
        </w:rPr>
        <w:t xml:space="preserve">femmes </w:t>
      </w:r>
      <w:proofErr w:type="spellStart"/>
      <w:r w:rsidRPr="00B34381">
        <w:rPr>
          <w:rFonts w:ascii="Arial" w:hAnsi="Arial" w:cs="Arial"/>
          <w:i/>
          <w:iCs/>
        </w:rPr>
        <w:t>fortes</w:t>
      </w:r>
      <w:proofErr w:type="spellEnd"/>
      <w:r w:rsidRPr="00B34381">
        <w:rPr>
          <w:rFonts w:ascii="Arial" w:hAnsi="Arial" w:cs="Arial"/>
        </w:rPr>
        <w:t>, donne forti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 xml:space="preserve">e affascinanti considerate quali </w:t>
      </w:r>
      <w:r w:rsidRPr="00B34381">
        <w:rPr>
          <w:rFonts w:ascii="Arial" w:hAnsi="Arial" w:cs="Arial"/>
          <w:i/>
          <w:iCs/>
        </w:rPr>
        <w:t xml:space="preserve">exempla </w:t>
      </w:r>
      <w:r w:rsidRPr="00B34381">
        <w:rPr>
          <w:rFonts w:ascii="Arial" w:hAnsi="Arial" w:cs="Arial"/>
        </w:rPr>
        <w:t>di valori e virtù.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Durante il Seicento e il Settecento la celebre sovrana è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protagonista di molte opere che si focalizzano soprattutto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sul momento drammatico del suicidio per il potenziale visivo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ed emotivo in esso contenuto e sulla raffigurazione del corpo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femminile seminudo in un sottile equilibrio tra esibito erotismo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e finalità morali e pedagogiche. In alcuni casi Cleopatra appare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sola e quasi sempre a seni scoperti come nelle tele di Gian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Giacomo Sementi, Giovanni Lanfranco, Guido Cagnacci ed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Elisabetta Sirani, caratterizzate da uno studiato patetismo 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da una gestualità teatrale, cui si coniuga una raffinata sensibilità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cromatica e luministica. Altre volte la messa in scena del tragico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gesto si fa più complessa, prevedendo la presenza di diversi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personaggi, come nelle acqueforti di Michel Corneille il Vecchio 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 xml:space="preserve">Johann Georg </w:t>
      </w:r>
      <w:proofErr w:type="spellStart"/>
      <w:r w:rsidRPr="00B34381">
        <w:rPr>
          <w:rFonts w:ascii="Arial" w:hAnsi="Arial" w:cs="Arial"/>
        </w:rPr>
        <w:t>Wille</w:t>
      </w:r>
      <w:proofErr w:type="spellEnd"/>
      <w:r w:rsidRPr="00B34381">
        <w:rPr>
          <w:rFonts w:ascii="Arial" w:hAnsi="Arial" w:cs="Arial"/>
        </w:rPr>
        <w:t>, entrambe tratte da dipinti.</w:t>
      </w:r>
    </w:p>
    <w:p w14:paraId="6AA1F68A" w14:textId="232F56BE" w:rsidR="00B34381" w:rsidRPr="00B34381" w:rsidRDefault="00B34381" w:rsidP="00B34381">
      <w:pPr>
        <w:spacing w:after="120" w:line="274" w:lineRule="auto"/>
        <w:jc w:val="both"/>
        <w:rPr>
          <w:rFonts w:ascii="Arial" w:hAnsi="Arial" w:cs="Arial"/>
        </w:rPr>
      </w:pPr>
      <w:r w:rsidRPr="00B34381">
        <w:rPr>
          <w:rFonts w:ascii="Arial" w:hAnsi="Arial" w:cs="Arial"/>
        </w:rPr>
        <w:t>Le vicende della regina egizia e le sue relazioni con Cesare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e Marco Antonio sono tra i soggetti prediletti della pittura di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storia, spunto per una narrazione colta e solenne, come nel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bozzetto per arazzo eseguito da Claudio Francesco Beaumont.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Grande successo ottiene, soprattutto in ambito veneto, anche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il tema del banchetto di Antonio e Cleopatra, che raggiunge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il suo apice negli affreschi eseguiti da Giambattista Tiepolo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in Palazzo Labia a Venezia e di cui la tela di Francesco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Fontebasso è un significativo esempio, consentendo agli artisti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di rappresentare interni di dimore lussuose e di inserire sulle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tavole imbandite raffinati brani di natura morta.</w:t>
      </w:r>
    </w:p>
    <w:p w14:paraId="667C9B7E" w14:textId="76C00ED5" w:rsidR="00321864" w:rsidRPr="00E078AD" w:rsidRDefault="00B34381" w:rsidP="00B34381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B34381">
        <w:rPr>
          <w:rFonts w:ascii="Arial" w:hAnsi="Arial" w:cs="Arial"/>
        </w:rPr>
        <w:t>Nel XIX secolo l’interpretazione del tema in chiave esoterica dà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>vita a composizioni di gusto orientaleggiante come il dipinto di</w:t>
      </w:r>
      <w:r>
        <w:rPr>
          <w:rFonts w:ascii="Arial" w:hAnsi="Arial" w:cs="Arial"/>
        </w:rPr>
        <w:t xml:space="preserve"> </w:t>
      </w:r>
      <w:r w:rsidRPr="00B34381">
        <w:rPr>
          <w:rFonts w:ascii="Arial" w:hAnsi="Arial" w:cs="Arial"/>
        </w:rPr>
        <w:t xml:space="preserve">Anatolio </w:t>
      </w:r>
      <w:proofErr w:type="spellStart"/>
      <w:r w:rsidRPr="00B34381">
        <w:rPr>
          <w:rFonts w:ascii="Arial" w:hAnsi="Arial" w:cs="Arial"/>
        </w:rPr>
        <w:t>Scifoni</w:t>
      </w:r>
      <w:proofErr w:type="spellEnd"/>
      <w:r w:rsidRPr="00B34381">
        <w:rPr>
          <w:rFonts w:ascii="Arial" w:hAnsi="Arial" w:cs="Arial"/>
        </w:rPr>
        <w:t>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258CE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D3424"/>
    <w:rsid w:val="00AE0537"/>
    <w:rsid w:val="00B02723"/>
    <w:rsid w:val="00B028CB"/>
    <w:rsid w:val="00B232C3"/>
    <w:rsid w:val="00B34381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2024-10-11T15:03:00Z</cp:lastPrinted>
  <dcterms:created xsi:type="dcterms:W3CDTF">2024-11-21T14:56:00Z</dcterms:created>
  <dcterms:modified xsi:type="dcterms:W3CDTF">2024-11-21T14:56:00Z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